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413A5707" w:rsidR="00FB6C5D" w:rsidRDefault="00FB6C5D" w:rsidP="00FB6C5D">
      <w:pPr>
        <w:pStyle w:val="3GPPHeader"/>
        <w:spacing w:after="0"/>
        <w:rPr>
          <w:rFonts w:ascii="Arial" w:hAnsi="Arial" w:cs="Arial"/>
          <w:sz w:val="22"/>
        </w:rPr>
      </w:pPr>
      <w:r>
        <w:rPr>
          <w:rFonts w:ascii="Arial" w:hAnsi="Arial" w:cs="Arial"/>
          <w:sz w:val="22"/>
        </w:rPr>
        <w:t>3GPP TSG-RAN2 Meeting #107bis</w:t>
      </w:r>
      <w:r>
        <w:rPr>
          <w:rFonts w:ascii="Arial" w:hAnsi="Arial" w:cs="Arial"/>
          <w:sz w:val="22"/>
        </w:rPr>
        <w:tab/>
      </w:r>
      <w:r w:rsidR="00610744" w:rsidRPr="00610744">
        <w:rPr>
          <w:rFonts w:ascii="Arial" w:hAnsi="Arial" w:cs="Arial"/>
          <w:sz w:val="22"/>
        </w:rPr>
        <w:t>R2-1913198</w:t>
      </w:r>
    </w:p>
    <w:p w14:paraId="3B74D700" w14:textId="77777777" w:rsidR="00FB6C5D" w:rsidRPr="008E1E51" w:rsidRDefault="00FB6C5D" w:rsidP="00FB6C5D">
      <w:pPr>
        <w:spacing w:after="60"/>
        <w:ind w:left="1985" w:hanging="1985"/>
        <w:rPr>
          <w:rFonts w:cs="Arial"/>
          <w:b/>
          <w:sz w:val="22"/>
        </w:rPr>
      </w:pPr>
      <w:r w:rsidRPr="008E1E51">
        <w:rPr>
          <w:rFonts w:cs="Arial"/>
          <w:b/>
          <w:sz w:val="22"/>
        </w:rPr>
        <w:t>Chongqing, China, 14 - 18 October 2019</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948F4E1" w:rsidR="00120D47" w:rsidRPr="00CE5743" w:rsidRDefault="00120D47" w:rsidP="00CE5743">
      <w:pPr>
        <w:pStyle w:val="3GPPHeader"/>
        <w:spacing w:after="120"/>
        <w:ind w:right="-988"/>
        <w:rPr>
          <w:rFonts w:ascii="Arial" w:hAnsi="Arial" w:cs="Arial"/>
          <w:b w:val="0"/>
          <w:sz w:val="22"/>
        </w:rPr>
      </w:pPr>
      <w:r w:rsidRPr="009A1476">
        <w:rPr>
          <w:rFonts w:ascii="Arial" w:hAnsi="Arial" w:cs="Arial"/>
          <w:sz w:val="22"/>
        </w:rPr>
        <w:t>Agenda Item:</w:t>
      </w:r>
      <w:r w:rsidRPr="009A1476">
        <w:rPr>
          <w:rFonts w:ascii="Arial" w:hAnsi="Arial" w:cs="Arial"/>
          <w:sz w:val="22"/>
        </w:rPr>
        <w:tab/>
      </w:r>
      <w:r w:rsidR="00CE5743" w:rsidRPr="00CE5743">
        <w:rPr>
          <w:rFonts w:ascii="Arial" w:hAnsi="Arial" w:cs="Arial"/>
          <w:b w:val="0"/>
          <w:sz w:val="22"/>
          <w:lang w:val="en-US"/>
        </w:rPr>
        <w:t>6.11.3 Efficient transition from RRC_CONNECTED to RRC_IDLE/RRC_INACTIVE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97D50B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03A59" w:rsidRPr="00B03A59">
        <w:rPr>
          <w:rFonts w:ascii="Arial" w:hAnsi="Arial" w:cs="Arial"/>
          <w:b w:val="0"/>
          <w:sz w:val="22"/>
          <w:lang w:val="en-US"/>
        </w:rPr>
        <w:t>UE assistance for RRC connection release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79057F4" w:rsidR="00120D47" w:rsidRDefault="004D10CC" w:rsidP="00120D47">
      <w:pPr>
        <w:pStyle w:val="Heading1"/>
      </w:pPr>
      <w:r>
        <w:t>Introduction</w:t>
      </w:r>
    </w:p>
    <w:p w14:paraId="6C2FE7EA" w14:textId="3D067DC9" w:rsidR="007E34F8" w:rsidRDefault="007E34F8" w:rsidP="007E34F8">
      <w:pPr>
        <w:rPr>
          <w:lang w:val="en-GB" w:eastAsia="zh-CN"/>
        </w:rPr>
      </w:pPr>
      <w:r>
        <w:rPr>
          <w:lang w:val="en-GB" w:eastAsia="zh-CN"/>
        </w:rPr>
        <w:t xml:space="preserve">RAN2 reached the following agreements for </w:t>
      </w:r>
      <w:r w:rsidR="00000744">
        <w:rPr>
          <w:lang w:val="en-GB" w:eastAsia="zh-CN"/>
        </w:rPr>
        <w:t>UE assistance for RRC connection release</w:t>
      </w:r>
      <w:r>
        <w:rPr>
          <w:lang w:val="en-GB" w:eastAsia="zh-CN"/>
        </w:rPr>
        <w:t xml:space="preserve"> during RAN2#107:</w:t>
      </w:r>
    </w:p>
    <w:p w14:paraId="147E439B" w14:textId="77777777" w:rsidR="00000744" w:rsidRPr="00000744" w:rsidRDefault="00000744" w:rsidP="00000744">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bCs/>
          <w:color w:val="C45911" w:themeColor="accent2" w:themeShade="BF"/>
          <w:sz w:val="18"/>
          <w:szCs w:val="18"/>
        </w:rPr>
      </w:pPr>
      <w:r w:rsidRPr="00000744">
        <w:rPr>
          <w:rFonts w:ascii="Times New Roman" w:hAnsi="Times New Roman"/>
          <w:b/>
          <w:bCs/>
          <w:color w:val="C45911" w:themeColor="accent2" w:themeShade="BF"/>
          <w:sz w:val="18"/>
          <w:szCs w:val="18"/>
        </w:rPr>
        <w:t>Agreements</w:t>
      </w:r>
    </w:p>
    <w:p w14:paraId="4AF45618" w14:textId="77777777" w:rsidR="00000744" w:rsidRPr="00000744" w:rsidRDefault="00000744" w:rsidP="00000744">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rPr>
      </w:pPr>
      <w:r w:rsidRPr="00000744">
        <w:rPr>
          <w:rFonts w:ascii="Times New Roman" w:hAnsi="Times New Roman"/>
          <w:color w:val="C45911" w:themeColor="accent2" w:themeShade="BF"/>
          <w:sz w:val="18"/>
          <w:szCs w:val="18"/>
        </w:rPr>
        <w:t>-</w:t>
      </w:r>
      <w:r w:rsidRPr="00000744">
        <w:rPr>
          <w:rFonts w:ascii="Times New Roman" w:hAnsi="Times New Roman"/>
          <w:color w:val="C45911" w:themeColor="accent2" w:themeShade="BF"/>
          <w:sz w:val="18"/>
          <w:szCs w:val="18"/>
        </w:rP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1A97BDD3" w14:textId="77777777" w:rsidR="00000744" w:rsidRPr="00000744" w:rsidRDefault="00000744" w:rsidP="00000744">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rPr>
      </w:pPr>
      <w:r w:rsidRPr="00000744">
        <w:rPr>
          <w:rFonts w:ascii="Times New Roman" w:hAnsi="Times New Roman"/>
          <w:color w:val="C45911" w:themeColor="accent2" w:themeShade="BF"/>
          <w:sz w:val="18"/>
          <w:szCs w:val="18"/>
        </w:rPr>
        <w:t>-</w:t>
      </w:r>
      <w:r w:rsidRPr="00000744">
        <w:rPr>
          <w:rFonts w:ascii="Times New Roman" w:hAnsi="Times New Roman"/>
          <w:color w:val="C45911" w:themeColor="accent2" w:themeShade="BF"/>
          <w:sz w:val="18"/>
          <w:szCs w:val="18"/>
        </w:rPr>
        <w:tab/>
        <w:t xml:space="preserve">The network can control the rate in which the UE transmits the release request.  At least a prohibit timer is introduced. </w:t>
      </w:r>
    </w:p>
    <w:p w14:paraId="378B0AF3" w14:textId="0AAD2860" w:rsidR="007E34F8" w:rsidRPr="007E34F8" w:rsidRDefault="00000744" w:rsidP="00000744">
      <w:pPr>
        <w:spacing w:before="200"/>
        <w:rPr>
          <w:lang w:val="en-GB" w:eastAsia="zh-CN"/>
        </w:rPr>
      </w:pPr>
      <w:r>
        <w:rPr>
          <w:lang w:val="en-GB" w:eastAsia="zh-CN"/>
        </w:rPr>
        <w:t xml:space="preserve">Further stage 3 details for UE assistance for RRC connection release are discussed in this contribution. </w:t>
      </w:r>
    </w:p>
    <w:p w14:paraId="1DEB3AB7" w14:textId="560C57C7" w:rsidR="00FA27C0" w:rsidRDefault="009D725A" w:rsidP="00FA27C0">
      <w:pPr>
        <w:pStyle w:val="Heading1"/>
      </w:pPr>
      <w:bookmarkStart w:id="0" w:name="_Toc242573354"/>
      <w:r>
        <w:t>Discussion</w:t>
      </w:r>
      <w:bookmarkEnd w:id="0"/>
    </w:p>
    <w:p w14:paraId="2552A079" w14:textId="4A5946B6" w:rsidR="00E455CE" w:rsidRDefault="00E455CE" w:rsidP="00000744">
      <w:pPr>
        <w:rPr>
          <w:b/>
          <w:u w:val="single"/>
          <w:lang w:val="en-GB" w:eastAsia="zh-CN"/>
        </w:rPr>
      </w:pPr>
      <w:r>
        <w:rPr>
          <w:b/>
          <w:u w:val="single"/>
          <w:lang w:val="en-GB" w:eastAsia="zh-CN"/>
        </w:rPr>
        <w:t>UE trigger to send RAI</w:t>
      </w:r>
    </w:p>
    <w:p w14:paraId="659416C3" w14:textId="6C409E58" w:rsidR="00FB1036" w:rsidRDefault="00FB1036" w:rsidP="00000744">
      <w:pPr>
        <w:rPr>
          <w:lang w:val="en-GB" w:eastAsia="zh-CN"/>
        </w:rPr>
      </w:pPr>
      <w:r>
        <w:rPr>
          <w:lang w:val="en-GB" w:eastAsia="zh-CN"/>
        </w:rPr>
        <w:t xml:space="preserve">In case of UE assistance signalling it is important that the NW can trust the signalling from the UE because the NW may act on it, i.e. release the UE. A NW implementation that needs to check if the UE indication was correct, and/or keep track of “bad” UE implementations would be a significant burden on the NW. Furthermore in case it turns out that many UEs send mis-information the NW may turn off the feature completely, where everybody would be looser, i.e. lots of money and time spent without any gain. It may also give UE assistance information a bad rap, and avoid further use of UE assistance information in other context, while there can be a benefit of using UE information. </w:t>
      </w:r>
    </w:p>
    <w:p w14:paraId="0607834B" w14:textId="04D4F136" w:rsidR="00134228" w:rsidRDefault="00134228" w:rsidP="00000744">
      <w:pPr>
        <w:rPr>
          <w:lang w:val="en-GB" w:eastAsia="zh-CN"/>
        </w:rPr>
      </w:pPr>
      <w:r>
        <w:rPr>
          <w:lang w:val="en-GB" w:eastAsia="zh-CN"/>
        </w:rPr>
        <w:t xml:space="preserve">In our view the UE should send a Release Assistance Indication (RAI) only when the UE does not expect more data to send or receive in the near future. Similar trigger to send RAI was captured for LTE/NB-IoT RAI indication (see section 5.4.5 in 36.321). Some effort is required in the UE implementation to determine such case, </w:t>
      </w:r>
      <w:r w:rsidR="00F96544">
        <w:rPr>
          <w:lang w:val="en-GB" w:eastAsia="zh-CN"/>
        </w:rPr>
        <w:t xml:space="preserve">and for that reason it makes sense to capture this in the specification. We understand that this cannot be tested, and that this in the end is left to UE implementation. But it makes sense to clarify in the specifications how this feature is supposed to work, i.e. when the NW releases the UE based on RAI, the NW should not have to establish a new connection immediately again because there is more data for that UE. This would lead to additional signalling in the network. A UE implementation that wants to save power would also benefit from proper implementation, i.e. therefore also no reason to object to such (obvious) clarification from UE vendor perspective: </w:t>
      </w:r>
    </w:p>
    <w:p w14:paraId="4FAD7C7C" w14:textId="3430BC34" w:rsidR="00E455CE" w:rsidRDefault="00E455CE" w:rsidP="00E455CE">
      <w:pPr>
        <w:rPr>
          <w:lang w:val="en-GB" w:eastAsia="zh-CN"/>
        </w:rPr>
      </w:pPr>
      <w:r w:rsidRPr="00000744">
        <w:rPr>
          <w:b/>
          <w:lang w:val="en-GB" w:eastAsia="zh-CN"/>
        </w:rPr>
        <w:t>Proposal</w:t>
      </w:r>
      <w:r w:rsidR="00F96544">
        <w:rPr>
          <w:b/>
          <w:lang w:val="en-GB" w:eastAsia="zh-CN"/>
        </w:rPr>
        <w:t xml:space="preserve"> 1</w:t>
      </w:r>
      <w:r>
        <w:rPr>
          <w:lang w:val="en-GB" w:eastAsia="zh-CN"/>
        </w:rPr>
        <w:t xml:space="preserve">: UE may signal </w:t>
      </w:r>
      <w:r w:rsidR="00F96544">
        <w:rPr>
          <w:lang w:val="en-GB" w:eastAsia="zh-CN"/>
        </w:rPr>
        <w:t>via UE assistance that it prefers to be released</w:t>
      </w:r>
      <w:r>
        <w:rPr>
          <w:lang w:val="en-GB" w:eastAsia="zh-CN"/>
        </w:rPr>
        <w:t xml:space="preserve"> when </w:t>
      </w:r>
      <w:r w:rsidR="00F96544">
        <w:rPr>
          <w:lang w:val="en-GB" w:eastAsia="zh-CN"/>
        </w:rPr>
        <w:t xml:space="preserve">the </w:t>
      </w:r>
      <w:r>
        <w:rPr>
          <w:lang w:val="en-GB" w:eastAsia="zh-CN"/>
        </w:rPr>
        <w:t xml:space="preserve">UE does not expect </w:t>
      </w:r>
      <w:r w:rsidR="00F96544">
        <w:rPr>
          <w:lang w:val="en-GB" w:eastAsia="zh-CN"/>
        </w:rPr>
        <w:t>to send or receive more data in the near future.</w:t>
      </w:r>
    </w:p>
    <w:p w14:paraId="4BEC513E" w14:textId="4F7219D4" w:rsidR="000C64BD" w:rsidRPr="00000744" w:rsidRDefault="000C64BD" w:rsidP="000C64BD">
      <w:pPr>
        <w:rPr>
          <w:b/>
          <w:u w:val="single"/>
          <w:lang w:val="en-GB" w:eastAsia="zh-CN"/>
        </w:rPr>
      </w:pPr>
      <w:r>
        <w:rPr>
          <w:b/>
          <w:u w:val="single"/>
          <w:lang w:val="en-GB" w:eastAsia="zh-CN"/>
        </w:rPr>
        <w:t>Preferred RRC state signalling</w:t>
      </w:r>
    </w:p>
    <w:p w14:paraId="5D6740E2" w14:textId="77777777" w:rsidR="00F96544" w:rsidRDefault="00F96544" w:rsidP="00E455CE">
      <w:pPr>
        <w:rPr>
          <w:lang w:val="en-GB" w:eastAsia="zh-CN"/>
        </w:rPr>
      </w:pPr>
      <w:r>
        <w:rPr>
          <w:lang w:val="en-GB" w:eastAsia="zh-CN"/>
        </w:rPr>
        <w:lastRenderedPageBreak/>
        <w:t>RAN2 agreed that the can indicate which RRC state (Idle or Inactive) the UE would prefer to transit to after connection release. In case the NW does not want to take the UE preference into account, but is interested to receive UE indication to be released, it should be possible to configure whether the UE should report “preferred RRC state” in the UE assistance for RRC release:</w:t>
      </w:r>
    </w:p>
    <w:p w14:paraId="3C383B10" w14:textId="77777777" w:rsidR="004B2960" w:rsidRDefault="004B2960" w:rsidP="004B2960">
      <w:pPr>
        <w:rPr>
          <w:lang w:val="en-GB" w:eastAsia="zh-CN"/>
        </w:rPr>
      </w:pPr>
      <w:r w:rsidRPr="00000744">
        <w:rPr>
          <w:b/>
          <w:lang w:val="en-GB" w:eastAsia="zh-CN"/>
        </w:rPr>
        <w:t>Proposal</w:t>
      </w:r>
      <w:r>
        <w:rPr>
          <w:b/>
          <w:lang w:val="en-GB" w:eastAsia="zh-CN"/>
        </w:rPr>
        <w:t xml:space="preserve"> 2</w:t>
      </w:r>
      <w:r>
        <w:rPr>
          <w:lang w:val="en-GB" w:eastAsia="zh-CN"/>
        </w:rPr>
        <w:t>: The “preferred RRC state” signalling in the UE assistance for RRC release is configurable.</w:t>
      </w:r>
    </w:p>
    <w:p w14:paraId="3173312F" w14:textId="775BD0F2" w:rsidR="000C64BD" w:rsidRDefault="000C64BD" w:rsidP="000C64BD">
      <w:pPr>
        <w:rPr>
          <w:b/>
          <w:u w:val="single"/>
          <w:lang w:val="en-GB" w:eastAsia="zh-CN"/>
        </w:rPr>
      </w:pPr>
      <w:r>
        <w:rPr>
          <w:b/>
          <w:u w:val="single"/>
          <w:lang w:val="en-GB" w:eastAsia="zh-CN"/>
        </w:rPr>
        <w:t>UE assistance signalling</w:t>
      </w:r>
    </w:p>
    <w:p w14:paraId="76B7F744" w14:textId="410AF9CC" w:rsidR="008B7172" w:rsidRDefault="008B7172" w:rsidP="000C64BD">
      <w:pPr>
        <w:rPr>
          <w:lang w:val="en-GB" w:eastAsia="zh-CN"/>
        </w:rPr>
      </w:pPr>
      <w:r>
        <w:rPr>
          <w:lang w:val="en-GB" w:eastAsia="zh-CN"/>
        </w:rPr>
        <w:t>In the context of UE assistance signalling for cDRX RAN2 agreed:</w:t>
      </w:r>
    </w:p>
    <w:p w14:paraId="68C873F2" w14:textId="77777777" w:rsidR="008B7172" w:rsidRPr="008B7172" w:rsidRDefault="008B7172" w:rsidP="008B7172">
      <w:pPr>
        <w:pStyle w:val="Doc-text2"/>
        <w:pBdr>
          <w:top w:val="single" w:sz="4" w:space="1" w:color="auto"/>
          <w:left w:val="single" w:sz="4" w:space="4" w:color="auto"/>
          <w:bottom w:val="single" w:sz="4" w:space="1" w:color="auto"/>
          <w:right w:val="single" w:sz="4" w:space="4" w:color="auto"/>
        </w:pBdr>
        <w:ind w:left="1083"/>
        <w:rPr>
          <w:rFonts w:ascii="Times New Roman" w:hAnsi="Times New Roman"/>
          <w:b/>
          <w:bCs/>
          <w:color w:val="C45911" w:themeColor="accent2" w:themeShade="BF"/>
          <w:sz w:val="18"/>
          <w:szCs w:val="18"/>
          <w:lang w:val="en-US"/>
        </w:rPr>
      </w:pPr>
      <w:r w:rsidRPr="008B7172">
        <w:rPr>
          <w:rFonts w:ascii="Times New Roman" w:hAnsi="Times New Roman"/>
          <w:b/>
          <w:bCs/>
          <w:color w:val="C45911" w:themeColor="accent2" w:themeShade="BF"/>
          <w:sz w:val="18"/>
          <w:szCs w:val="18"/>
          <w:lang w:val="en-US"/>
        </w:rPr>
        <w:t>Agreements:</w:t>
      </w:r>
    </w:p>
    <w:p w14:paraId="2ADE1E10" w14:textId="1CD91C11" w:rsidR="008B7172" w:rsidRPr="008B7172" w:rsidRDefault="008B7172" w:rsidP="008B7172">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lang w:val="en-US"/>
        </w:rPr>
      </w:pPr>
      <w:r w:rsidRPr="008B7172">
        <w:rPr>
          <w:rFonts w:ascii="Times New Roman" w:hAnsi="Times New Roman"/>
          <w:color w:val="C45911" w:themeColor="accent2" w:themeShade="BF"/>
          <w:sz w:val="18"/>
          <w:szCs w:val="18"/>
          <w:lang w:val="en-US"/>
        </w:rPr>
        <w:t>-</w:t>
      </w:r>
      <w:r w:rsidRPr="008B7172">
        <w:rPr>
          <w:rFonts w:ascii="Times New Roman" w:hAnsi="Times New Roman"/>
          <w:color w:val="C45911" w:themeColor="accent2" w:themeShade="BF"/>
          <w:sz w:val="18"/>
          <w:szCs w:val="18"/>
          <w:lang w:val="en-US"/>
        </w:rPr>
        <w:tab/>
        <w:t xml:space="preserve">UE assistance reporting follows Rel-15 UE assistance information procedure as a baseline.  The network can configure the UE to be able to report C-DRX UE assistance.  </w:t>
      </w:r>
      <w:r w:rsidRPr="008B7172">
        <w:rPr>
          <w:rFonts w:ascii="Times New Roman" w:hAnsi="Times New Roman"/>
          <w:color w:val="C45911" w:themeColor="accent2" w:themeShade="BF"/>
          <w:sz w:val="18"/>
          <w:szCs w:val="18"/>
          <w:highlight w:val="yellow"/>
          <w:lang w:val="en-US"/>
        </w:rPr>
        <w:t>The UE reports only the configured UE assistance information that triggered the report.</w:t>
      </w:r>
      <w:r w:rsidRPr="008B7172">
        <w:rPr>
          <w:rFonts w:ascii="Times New Roman" w:hAnsi="Times New Roman"/>
          <w:color w:val="C45911" w:themeColor="accent2" w:themeShade="BF"/>
          <w:sz w:val="18"/>
          <w:szCs w:val="18"/>
          <w:lang w:val="en-US"/>
        </w:rPr>
        <w:t xml:space="preserve">  </w:t>
      </w:r>
    </w:p>
    <w:p w14:paraId="3496544F" w14:textId="041A0FE6" w:rsidR="008B7172" w:rsidRPr="008B7172" w:rsidRDefault="008B7172" w:rsidP="008B7172">
      <w:pPr>
        <w:spacing w:before="200"/>
        <w:rPr>
          <w:lang w:eastAsia="zh-CN"/>
        </w:rPr>
      </w:pPr>
      <w:r>
        <w:rPr>
          <w:lang w:eastAsia="zh-CN"/>
        </w:rPr>
        <w:t xml:space="preserve">Perhaps it is obvious that this would also apply for the UE assistance for RRC release, but it is good to mention explicitly: </w:t>
      </w:r>
    </w:p>
    <w:p w14:paraId="461B3D9E" w14:textId="1B84E440" w:rsidR="00000744" w:rsidRDefault="00000744" w:rsidP="00000744">
      <w:pPr>
        <w:rPr>
          <w:lang w:val="en-GB" w:eastAsia="zh-CN"/>
        </w:rPr>
      </w:pPr>
      <w:r w:rsidRPr="00000744">
        <w:rPr>
          <w:b/>
          <w:lang w:val="en-GB" w:eastAsia="zh-CN"/>
        </w:rPr>
        <w:t>Proposal</w:t>
      </w:r>
      <w:r w:rsidR="008B7172">
        <w:rPr>
          <w:b/>
          <w:lang w:val="en-GB" w:eastAsia="zh-CN"/>
        </w:rPr>
        <w:t xml:space="preserve"> 3</w:t>
      </w:r>
      <w:r>
        <w:rPr>
          <w:lang w:val="en-GB" w:eastAsia="zh-CN"/>
        </w:rPr>
        <w:t xml:space="preserve">: </w:t>
      </w:r>
      <w:r w:rsidR="008B7172">
        <w:rPr>
          <w:lang w:val="en-GB" w:eastAsia="zh-CN"/>
        </w:rPr>
        <w:t>When configured to report UE assistance for RRC release, the UE only reports UE assistance for RRC release when the UE wishes to be released.</w:t>
      </w:r>
    </w:p>
    <w:p w14:paraId="5C2AF876" w14:textId="3552A4D1" w:rsidR="00000744" w:rsidRDefault="00000744" w:rsidP="00000744">
      <w:pPr>
        <w:rPr>
          <w:b/>
          <w:u w:val="single"/>
          <w:lang w:val="en-GB" w:eastAsia="zh-CN"/>
        </w:rPr>
      </w:pPr>
      <w:r w:rsidRPr="00000744">
        <w:rPr>
          <w:b/>
          <w:u w:val="single"/>
          <w:lang w:val="en-GB" w:eastAsia="zh-CN"/>
        </w:rPr>
        <w:t>NW control of excessive signalling</w:t>
      </w:r>
    </w:p>
    <w:p w14:paraId="3E89B7BF" w14:textId="36642451" w:rsidR="008B7172" w:rsidRDefault="008B7172" w:rsidP="00000744">
      <w:pPr>
        <w:rPr>
          <w:lang w:val="en-GB" w:eastAsia="zh-CN"/>
        </w:rPr>
      </w:pPr>
      <w:r>
        <w:rPr>
          <w:lang w:val="en-GB" w:eastAsia="zh-CN"/>
        </w:rPr>
        <w:t>In the UE assistance framework there is only a prohibit timer defined (</w:t>
      </w:r>
      <w:proofErr w:type="spellStart"/>
      <w:r w:rsidR="008148E9" w:rsidRPr="008148E9">
        <w:rPr>
          <w:i/>
          <w:lang w:val="en-GB" w:eastAsia="zh-CN"/>
        </w:rPr>
        <w:t>delayBudgetReporting</w:t>
      </w:r>
      <w:proofErr w:type="spellEnd"/>
      <w:r w:rsidR="008148E9">
        <w:rPr>
          <w:lang w:val="en-GB" w:eastAsia="zh-CN"/>
        </w:rPr>
        <w:t xml:space="preserve"> [0, 0.4, 0.8, 1.6, 3, 6, 12, 30] sec, </w:t>
      </w:r>
      <w:proofErr w:type="spellStart"/>
      <w:r w:rsidR="008148E9" w:rsidRPr="008148E9">
        <w:rPr>
          <w:i/>
          <w:lang w:val="en-GB" w:eastAsia="zh-CN"/>
        </w:rPr>
        <w:t>o</w:t>
      </w:r>
      <w:r w:rsidRPr="008148E9">
        <w:rPr>
          <w:i/>
          <w:lang w:val="en-GB" w:eastAsia="zh-CN"/>
        </w:rPr>
        <w:t>verheating</w:t>
      </w:r>
      <w:r w:rsidR="008148E9" w:rsidRPr="008148E9">
        <w:rPr>
          <w:i/>
          <w:lang w:val="en-GB" w:eastAsia="zh-CN"/>
        </w:rPr>
        <w:t>Indication</w:t>
      </w:r>
      <w:proofErr w:type="spellEnd"/>
      <w:r w:rsidR="008148E9">
        <w:rPr>
          <w:lang w:val="en-GB" w:eastAsia="zh-CN"/>
        </w:rPr>
        <w:t xml:space="preserve"> [0, 0.5, 1, 2, 5, 10, 20, 30 60 90, 120, 300, 600] sec). In our view there is no need for value 0, i.e. why would the UE need to send two requests to be released back-to-back without waiting for a possible NW response? That would only lead to unnecessary signalling. Furthermore when the NW does not reply to consecutive requests from the UE, the UE should not keep on insisting to be released, i.e. maximum number of attempts should be configured: </w:t>
      </w:r>
    </w:p>
    <w:p w14:paraId="2ADC1974" w14:textId="77777777" w:rsidR="004B2960" w:rsidRDefault="004B2960" w:rsidP="004B2960">
      <w:pPr>
        <w:rPr>
          <w:lang w:val="en-GB" w:eastAsia="zh-CN"/>
        </w:rPr>
      </w:pPr>
      <w:r w:rsidRPr="00000744">
        <w:rPr>
          <w:b/>
          <w:lang w:val="en-GB" w:eastAsia="zh-CN"/>
        </w:rPr>
        <w:t>Proposal</w:t>
      </w:r>
      <w:r>
        <w:rPr>
          <w:b/>
          <w:lang w:val="en-GB" w:eastAsia="zh-CN"/>
        </w:rPr>
        <w:t xml:space="preserve"> 4</w:t>
      </w:r>
      <w:r>
        <w:rPr>
          <w:lang w:val="en-GB" w:eastAsia="zh-CN"/>
        </w:rPr>
        <w:t>: Introduce a prohibit timer and counter for the UE assistance for RRC release</w:t>
      </w:r>
    </w:p>
    <w:p w14:paraId="70D08203" w14:textId="591D5683" w:rsidR="008148E9" w:rsidRDefault="008148E9" w:rsidP="008148E9">
      <w:pPr>
        <w:rPr>
          <w:lang w:val="en-GB" w:eastAsia="zh-CN"/>
        </w:rPr>
      </w:pPr>
      <w:bookmarkStart w:id="1" w:name="_GoBack"/>
      <w:bookmarkEnd w:id="1"/>
      <w:r w:rsidRPr="00000744">
        <w:rPr>
          <w:b/>
          <w:lang w:val="en-GB" w:eastAsia="zh-CN"/>
        </w:rPr>
        <w:t>Proposal</w:t>
      </w:r>
      <w:r>
        <w:rPr>
          <w:b/>
          <w:lang w:val="en-GB" w:eastAsia="zh-CN"/>
        </w:rPr>
        <w:t xml:space="preserve"> 5</w:t>
      </w:r>
      <w:r>
        <w:rPr>
          <w:lang w:val="en-GB" w:eastAsia="zh-CN"/>
        </w:rPr>
        <w:t>: The prohibit timer has value range [0.5, 1, …, 10] sec</w:t>
      </w:r>
    </w:p>
    <w:p w14:paraId="3F54B86D" w14:textId="6F088252" w:rsidR="008148E9" w:rsidRDefault="008148E9" w:rsidP="008148E9">
      <w:pPr>
        <w:rPr>
          <w:lang w:val="en-GB" w:eastAsia="zh-CN"/>
        </w:rPr>
      </w:pPr>
      <w:r w:rsidRPr="00000744">
        <w:rPr>
          <w:b/>
          <w:lang w:val="en-GB" w:eastAsia="zh-CN"/>
        </w:rPr>
        <w:t>Proposal</w:t>
      </w:r>
      <w:r>
        <w:rPr>
          <w:b/>
          <w:lang w:val="en-GB" w:eastAsia="zh-CN"/>
        </w:rPr>
        <w:t xml:space="preserve"> 6</w:t>
      </w:r>
      <w:r>
        <w:rPr>
          <w:lang w:val="en-GB" w:eastAsia="zh-CN"/>
        </w:rPr>
        <w:t>: The prohibit counter has value range [1, 2, 4, 6]</w:t>
      </w:r>
    </w:p>
    <w:p w14:paraId="5E650D32" w14:textId="77777777" w:rsidR="009D725A" w:rsidRDefault="009D725A" w:rsidP="009D725A">
      <w:pPr>
        <w:pStyle w:val="Heading1"/>
        <w:jc w:val="both"/>
      </w:pPr>
      <w:bookmarkStart w:id="2" w:name="_Toc242573360"/>
      <w:r>
        <w:t>Summary</w:t>
      </w:r>
      <w:bookmarkEnd w:id="2"/>
    </w:p>
    <w:p w14:paraId="65B81F03" w14:textId="24D68091" w:rsidR="001659F2" w:rsidRDefault="001659F2" w:rsidP="001659F2">
      <w:bookmarkStart w:id="3" w:name="_Toc242573361"/>
      <w:r>
        <w:t xml:space="preserve">RAN2 is kindly asked to </w:t>
      </w:r>
      <w:r w:rsidR="00910638">
        <w:t xml:space="preserve">discuss </w:t>
      </w:r>
      <w:r w:rsidR="008148E9">
        <w:t>UE assistance for RRC release</w:t>
      </w:r>
      <w:r>
        <w:t xml:space="preserve">: </w:t>
      </w:r>
    </w:p>
    <w:p w14:paraId="29D98B3D" w14:textId="77777777" w:rsidR="008148E9" w:rsidRDefault="008148E9" w:rsidP="008148E9">
      <w:pPr>
        <w:rPr>
          <w:lang w:val="en-GB" w:eastAsia="zh-CN"/>
        </w:rPr>
      </w:pPr>
      <w:r w:rsidRPr="00000744">
        <w:rPr>
          <w:b/>
          <w:lang w:val="en-GB" w:eastAsia="zh-CN"/>
        </w:rPr>
        <w:t>Proposal</w:t>
      </w:r>
      <w:r>
        <w:rPr>
          <w:b/>
          <w:lang w:val="en-GB" w:eastAsia="zh-CN"/>
        </w:rPr>
        <w:t xml:space="preserve"> 1</w:t>
      </w:r>
      <w:r>
        <w:rPr>
          <w:lang w:val="en-GB" w:eastAsia="zh-CN"/>
        </w:rPr>
        <w:t>: UE may signal via UE assistance that it prefers to be released when the UE does not expect to send or receive more data in the near future.</w:t>
      </w:r>
    </w:p>
    <w:p w14:paraId="10CA36A4" w14:textId="57AA32CD" w:rsidR="008148E9" w:rsidRDefault="008148E9" w:rsidP="008148E9">
      <w:pPr>
        <w:rPr>
          <w:lang w:val="en-GB" w:eastAsia="zh-CN"/>
        </w:rPr>
      </w:pPr>
      <w:r w:rsidRPr="00000744">
        <w:rPr>
          <w:b/>
          <w:lang w:val="en-GB" w:eastAsia="zh-CN"/>
        </w:rPr>
        <w:t>Proposal</w:t>
      </w:r>
      <w:r>
        <w:rPr>
          <w:b/>
          <w:lang w:val="en-GB" w:eastAsia="zh-CN"/>
        </w:rPr>
        <w:t xml:space="preserve"> 2</w:t>
      </w:r>
      <w:r>
        <w:rPr>
          <w:lang w:val="en-GB" w:eastAsia="zh-CN"/>
        </w:rPr>
        <w:t xml:space="preserve">: </w:t>
      </w:r>
      <w:r w:rsidR="004B2960">
        <w:rPr>
          <w:lang w:val="en-GB" w:eastAsia="zh-CN"/>
        </w:rPr>
        <w:t xml:space="preserve">The </w:t>
      </w:r>
      <w:r>
        <w:rPr>
          <w:lang w:val="en-GB" w:eastAsia="zh-CN"/>
        </w:rPr>
        <w:t xml:space="preserve">“preferred RRC state” </w:t>
      </w:r>
      <w:r w:rsidR="004B2960">
        <w:rPr>
          <w:lang w:val="en-GB" w:eastAsia="zh-CN"/>
        </w:rPr>
        <w:t xml:space="preserve">signalling </w:t>
      </w:r>
      <w:r>
        <w:rPr>
          <w:lang w:val="en-GB" w:eastAsia="zh-CN"/>
        </w:rPr>
        <w:t xml:space="preserve">in the UE assistance for RRC release is </w:t>
      </w:r>
      <w:r w:rsidR="004B2960">
        <w:rPr>
          <w:lang w:val="en-GB" w:eastAsia="zh-CN"/>
        </w:rPr>
        <w:t>configurable.</w:t>
      </w:r>
    </w:p>
    <w:p w14:paraId="34180798" w14:textId="77777777" w:rsidR="008148E9" w:rsidRDefault="008148E9" w:rsidP="008148E9">
      <w:pPr>
        <w:rPr>
          <w:lang w:val="en-GB" w:eastAsia="zh-CN"/>
        </w:rPr>
      </w:pPr>
      <w:r w:rsidRPr="00000744">
        <w:rPr>
          <w:b/>
          <w:lang w:val="en-GB" w:eastAsia="zh-CN"/>
        </w:rPr>
        <w:t>Proposal</w:t>
      </w:r>
      <w:r>
        <w:rPr>
          <w:b/>
          <w:lang w:val="en-GB" w:eastAsia="zh-CN"/>
        </w:rPr>
        <w:t xml:space="preserve"> 3</w:t>
      </w:r>
      <w:r>
        <w:rPr>
          <w:lang w:val="en-GB" w:eastAsia="zh-CN"/>
        </w:rPr>
        <w:t>: When configured to report UE assistance for RRC release, the UE only reports UE assistance for RRC release when the UE wishes to be released.</w:t>
      </w:r>
    </w:p>
    <w:p w14:paraId="169BB8DA" w14:textId="6B16282E" w:rsidR="008148E9" w:rsidRDefault="008148E9" w:rsidP="008148E9">
      <w:pPr>
        <w:rPr>
          <w:lang w:val="en-GB" w:eastAsia="zh-CN"/>
        </w:rPr>
      </w:pPr>
      <w:r w:rsidRPr="00000744">
        <w:rPr>
          <w:b/>
          <w:lang w:val="en-GB" w:eastAsia="zh-CN"/>
        </w:rPr>
        <w:t>Proposal</w:t>
      </w:r>
      <w:r>
        <w:rPr>
          <w:b/>
          <w:lang w:val="en-GB" w:eastAsia="zh-CN"/>
        </w:rPr>
        <w:t xml:space="preserve"> 4</w:t>
      </w:r>
      <w:r>
        <w:rPr>
          <w:lang w:val="en-GB" w:eastAsia="zh-CN"/>
        </w:rPr>
        <w:t xml:space="preserve">: Introduce a prohibit timer and counter for </w:t>
      </w:r>
      <w:r w:rsidR="004B2960">
        <w:rPr>
          <w:lang w:val="en-GB" w:eastAsia="zh-CN"/>
        </w:rPr>
        <w:t xml:space="preserve">the </w:t>
      </w:r>
      <w:r>
        <w:rPr>
          <w:lang w:val="en-GB" w:eastAsia="zh-CN"/>
        </w:rPr>
        <w:t>UE assistance for RRC release</w:t>
      </w:r>
    </w:p>
    <w:p w14:paraId="6F0F43B5" w14:textId="77777777" w:rsidR="008148E9" w:rsidRDefault="008148E9" w:rsidP="008148E9">
      <w:pPr>
        <w:rPr>
          <w:lang w:val="en-GB" w:eastAsia="zh-CN"/>
        </w:rPr>
      </w:pPr>
      <w:r w:rsidRPr="00000744">
        <w:rPr>
          <w:b/>
          <w:lang w:val="en-GB" w:eastAsia="zh-CN"/>
        </w:rPr>
        <w:t>Proposal</w:t>
      </w:r>
      <w:r>
        <w:rPr>
          <w:b/>
          <w:lang w:val="en-GB" w:eastAsia="zh-CN"/>
        </w:rPr>
        <w:t xml:space="preserve"> 5</w:t>
      </w:r>
      <w:r>
        <w:rPr>
          <w:lang w:val="en-GB" w:eastAsia="zh-CN"/>
        </w:rPr>
        <w:t>: The prohibit timer has value range [0.5, 1, …, 10] sec</w:t>
      </w:r>
    </w:p>
    <w:p w14:paraId="37A55FA8" w14:textId="77777777" w:rsidR="008148E9" w:rsidRDefault="008148E9" w:rsidP="008148E9">
      <w:pPr>
        <w:rPr>
          <w:lang w:val="en-GB" w:eastAsia="zh-CN"/>
        </w:rPr>
      </w:pPr>
      <w:r w:rsidRPr="00000744">
        <w:rPr>
          <w:b/>
          <w:lang w:val="en-GB" w:eastAsia="zh-CN"/>
        </w:rPr>
        <w:t>Proposal</w:t>
      </w:r>
      <w:r>
        <w:rPr>
          <w:b/>
          <w:lang w:val="en-GB" w:eastAsia="zh-CN"/>
        </w:rPr>
        <w:t xml:space="preserve"> 6</w:t>
      </w:r>
      <w:r>
        <w:rPr>
          <w:lang w:val="en-GB" w:eastAsia="zh-CN"/>
        </w:rPr>
        <w:t>: The prohibit counter has value range [1, 2, 4, 6]</w:t>
      </w:r>
    </w:p>
    <w:p w14:paraId="5A15FD36" w14:textId="77777777" w:rsidR="009D725A" w:rsidRDefault="009D725A" w:rsidP="009D725A">
      <w:pPr>
        <w:pStyle w:val="Heading1"/>
        <w:rPr>
          <w:noProof/>
        </w:rPr>
      </w:pPr>
      <w:r>
        <w:rPr>
          <w:noProof/>
        </w:rPr>
        <w:lastRenderedPageBreak/>
        <w:t>References</w:t>
      </w:r>
      <w:bookmarkEnd w:id="3"/>
    </w:p>
    <w:bookmarkStart w:id="4" w:name="_Hlk20663519"/>
    <w:p w14:paraId="41FDFB5E" w14:textId="77777777" w:rsidR="007E781B" w:rsidRDefault="007E781B" w:rsidP="007E781B">
      <w:pPr>
        <w:numPr>
          <w:ilvl w:val="0"/>
          <w:numId w:val="2"/>
        </w:numPr>
        <w:overflowPunct w:val="0"/>
        <w:autoSpaceDE w:val="0"/>
        <w:autoSpaceDN w:val="0"/>
        <w:adjustRightInd w:val="0"/>
        <w:spacing w:before="60" w:after="60"/>
        <w:textAlignment w:val="baseline"/>
        <w:rPr>
          <w:rFonts w:cs="Arial"/>
          <w:sz w:val="16"/>
          <w:szCs w:val="16"/>
          <w:lang w:val="de-DE"/>
        </w:rPr>
      </w:pPr>
      <w:r>
        <w:fldChar w:fldCharType="begin"/>
      </w:r>
      <w:r>
        <w:instrText xml:space="preserve"> HYPERLINK "http://www.3gpp.org/ftp/tsg_ran/TSG_RAN/TSGR_84/Docs/RP-191607.zip" </w:instrText>
      </w:r>
      <w:r>
        <w:fldChar w:fldCharType="separate"/>
      </w:r>
      <w:r>
        <w:rPr>
          <w:rStyle w:val="Hyperlink"/>
          <w:sz w:val="16"/>
          <w:szCs w:val="16"/>
          <w:lang w:val="de-DE"/>
        </w:rPr>
        <w:t>RP-191607</w:t>
      </w:r>
      <w:r>
        <w:rPr>
          <w:rStyle w:val="Hyperlink"/>
          <w:sz w:val="16"/>
          <w:szCs w:val="16"/>
          <w:lang w:val="de-DE"/>
        </w:rPr>
        <w:fldChar w:fldCharType="end"/>
      </w:r>
      <w:r>
        <w:rPr>
          <w:rFonts w:cs="Arial"/>
          <w:sz w:val="16"/>
          <w:szCs w:val="16"/>
          <w:lang w:val="de-DE"/>
        </w:rPr>
        <w:t xml:space="preserve">, </w:t>
      </w:r>
      <w:r>
        <w:rPr>
          <w:rFonts w:cs="Arial"/>
          <w:i/>
          <w:sz w:val="16"/>
          <w:szCs w:val="16"/>
          <w:lang w:val="de-DE"/>
        </w:rPr>
        <w:t>Revised WID: UE Power Saving in NR</w:t>
      </w:r>
      <w:r>
        <w:rPr>
          <w:rFonts w:cs="Arial"/>
          <w:sz w:val="16"/>
          <w:szCs w:val="16"/>
          <w:lang w:val="de-DE"/>
        </w:rPr>
        <w:t>, Revised WID, CATT, RAN#84</w:t>
      </w:r>
    </w:p>
    <w:p w14:paraId="582584C9" w14:textId="77777777" w:rsidR="002D3058" w:rsidRPr="002D3058" w:rsidRDefault="002D3058" w:rsidP="002D3058">
      <w:pPr>
        <w:numPr>
          <w:ilvl w:val="0"/>
          <w:numId w:val="2"/>
        </w:numPr>
        <w:overflowPunct w:val="0"/>
        <w:autoSpaceDE w:val="0"/>
        <w:autoSpaceDN w:val="0"/>
        <w:adjustRightInd w:val="0"/>
        <w:spacing w:before="60" w:after="60"/>
        <w:textAlignment w:val="baseline"/>
        <w:rPr>
          <w:rFonts w:cs="Arial"/>
          <w:sz w:val="16"/>
          <w:szCs w:val="16"/>
          <w:lang w:val="de-DE"/>
        </w:rPr>
      </w:pPr>
      <w:hyperlink r:id="rId7" w:history="1">
        <w:r w:rsidR="007E781B" w:rsidRPr="002D3058">
          <w:rPr>
            <w:rStyle w:val="Hyperlink"/>
            <w:rFonts w:cs="Arial"/>
            <w:sz w:val="16"/>
            <w:szCs w:val="16"/>
            <w:lang w:val="de-DE"/>
          </w:rPr>
          <w:t>RP-192225</w:t>
        </w:r>
      </w:hyperlink>
      <w:r w:rsidR="007E781B" w:rsidRPr="002D3058">
        <w:rPr>
          <w:rFonts w:cs="Arial"/>
          <w:sz w:val="16"/>
          <w:szCs w:val="16"/>
          <w:lang w:val="de-DE"/>
        </w:rPr>
        <w:t xml:space="preserve">, </w:t>
      </w:r>
      <w:r w:rsidR="007E781B" w:rsidRPr="002D3058">
        <w:rPr>
          <w:rFonts w:cs="Arial"/>
          <w:i/>
          <w:sz w:val="16"/>
          <w:szCs w:val="16"/>
          <w:lang w:val="de-DE"/>
        </w:rPr>
        <w:t>Status Report for WI: UE Power Saving in NR</w:t>
      </w:r>
      <w:r w:rsidR="007E781B" w:rsidRPr="002D3058">
        <w:rPr>
          <w:rFonts w:cs="Arial"/>
          <w:sz w:val="16"/>
          <w:szCs w:val="16"/>
          <w:lang w:val="de-DE"/>
        </w:rPr>
        <w:t>, CATT, RAN#85</w:t>
      </w:r>
      <w:bookmarkEnd w:id="4"/>
    </w:p>
    <w:p w14:paraId="344FBA37" w14:textId="258771CD" w:rsidR="007E781B" w:rsidRPr="002D3058" w:rsidRDefault="00B5663A" w:rsidP="002D3058">
      <w:pPr>
        <w:numPr>
          <w:ilvl w:val="0"/>
          <w:numId w:val="2"/>
        </w:numPr>
        <w:overflowPunct w:val="0"/>
        <w:autoSpaceDE w:val="0"/>
        <w:autoSpaceDN w:val="0"/>
        <w:adjustRightInd w:val="0"/>
        <w:spacing w:before="60" w:after="60"/>
        <w:textAlignment w:val="baseline"/>
        <w:rPr>
          <w:rFonts w:cs="Arial"/>
          <w:sz w:val="16"/>
          <w:szCs w:val="16"/>
          <w:lang w:val="de-DE"/>
        </w:rPr>
      </w:pPr>
      <w:hyperlink r:id="rId8" w:history="1">
        <w:r w:rsidR="007E781B" w:rsidRPr="002D3058">
          <w:rPr>
            <w:rStyle w:val="Hyperlink"/>
            <w:rFonts w:cs="Arial"/>
            <w:sz w:val="16"/>
            <w:szCs w:val="16"/>
            <w:lang w:val="en-GB"/>
          </w:rPr>
          <w:t>R2-1911246</w:t>
        </w:r>
      </w:hyperlink>
      <w:r w:rsidR="007E781B" w:rsidRPr="002D3058">
        <w:rPr>
          <w:rFonts w:cs="Arial"/>
          <w:sz w:val="16"/>
          <w:szCs w:val="16"/>
          <w:lang w:val="en-GB"/>
        </w:rPr>
        <w:t xml:space="preserve">, </w:t>
      </w:r>
      <w:r w:rsidR="007E781B" w:rsidRPr="002D3058">
        <w:rPr>
          <w:rFonts w:cs="Arial"/>
          <w:i/>
          <w:iCs/>
          <w:sz w:val="16"/>
          <w:szCs w:val="16"/>
          <w:lang w:val="en-GB"/>
        </w:rPr>
        <w:t>Discussion on efficient RRC state transition</w:t>
      </w:r>
      <w:r w:rsidR="007E781B" w:rsidRPr="002D3058">
        <w:rPr>
          <w:rFonts w:cs="Arial"/>
          <w:sz w:val="16"/>
          <w:szCs w:val="16"/>
          <w:lang w:val="en-GB"/>
        </w:rPr>
        <w:t>, Huawei, DISC</w:t>
      </w:r>
    </w:p>
    <w:sectPr w:rsidR="007E781B" w:rsidRPr="002D3058" w:rsidSect="001069A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2A3E" w14:textId="77777777" w:rsidR="00B5663A" w:rsidRDefault="00B5663A">
      <w:r>
        <w:separator/>
      </w:r>
    </w:p>
  </w:endnote>
  <w:endnote w:type="continuationSeparator" w:id="0">
    <w:p w14:paraId="2C6F955A" w14:textId="77777777" w:rsidR="00B5663A" w:rsidRDefault="00B5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74D7B" w14:textId="77777777" w:rsidR="00B5663A" w:rsidRDefault="00B5663A">
      <w:r>
        <w:separator/>
      </w:r>
    </w:p>
  </w:footnote>
  <w:footnote w:type="continuationSeparator" w:id="0">
    <w:p w14:paraId="485AC7B1" w14:textId="77777777" w:rsidR="00B5663A" w:rsidRDefault="00B56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F6A64"/>
    <w:multiLevelType w:val="hybridMultilevel"/>
    <w:tmpl w:val="7A2ED774"/>
    <w:lvl w:ilvl="0" w:tplc="3C8AD1D8">
      <w:start w:val="1"/>
      <w:numFmt w:val="bullet"/>
      <w:lvlText w:val="–"/>
      <w:lvlJc w:val="left"/>
      <w:pPr>
        <w:tabs>
          <w:tab w:val="num" w:pos="360"/>
        </w:tabs>
        <w:ind w:left="360" w:hanging="360"/>
      </w:pPr>
      <w:rPr>
        <w:rFonts w:ascii="Ericsson Capital TT" w:hAnsi="Ericsson Capital TT" w:hint="default"/>
      </w:rPr>
    </w:lvl>
    <w:lvl w:ilvl="1" w:tplc="FB8CB730">
      <w:start w:val="1"/>
      <w:numFmt w:val="bullet"/>
      <w:lvlText w:val="–"/>
      <w:lvlJc w:val="left"/>
      <w:pPr>
        <w:tabs>
          <w:tab w:val="num" w:pos="1080"/>
        </w:tabs>
        <w:ind w:left="1080" w:hanging="360"/>
      </w:pPr>
      <w:rPr>
        <w:rFonts w:ascii="Ericsson Capital TT" w:hAnsi="Ericsson Capital TT" w:hint="default"/>
      </w:rPr>
    </w:lvl>
    <w:lvl w:ilvl="2" w:tplc="20BC3A1E">
      <w:start w:val="142"/>
      <w:numFmt w:val="bullet"/>
      <w:lvlText w:val="›"/>
      <w:lvlJc w:val="left"/>
      <w:pPr>
        <w:tabs>
          <w:tab w:val="num" w:pos="1800"/>
        </w:tabs>
        <w:ind w:left="1800" w:hanging="360"/>
      </w:pPr>
      <w:rPr>
        <w:rFonts w:ascii="Ericsson Capital TT" w:hAnsi="Ericsson Capital TT" w:hint="default"/>
      </w:rPr>
    </w:lvl>
    <w:lvl w:ilvl="3" w:tplc="EA56864E" w:tentative="1">
      <w:start w:val="1"/>
      <w:numFmt w:val="bullet"/>
      <w:lvlText w:val="–"/>
      <w:lvlJc w:val="left"/>
      <w:pPr>
        <w:tabs>
          <w:tab w:val="num" w:pos="2520"/>
        </w:tabs>
        <w:ind w:left="2520" w:hanging="360"/>
      </w:pPr>
      <w:rPr>
        <w:rFonts w:ascii="Ericsson Capital TT" w:hAnsi="Ericsson Capital TT" w:hint="default"/>
      </w:rPr>
    </w:lvl>
    <w:lvl w:ilvl="4" w:tplc="E370DE12" w:tentative="1">
      <w:start w:val="1"/>
      <w:numFmt w:val="bullet"/>
      <w:lvlText w:val="–"/>
      <w:lvlJc w:val="left"/>
      <w:pPr>
        <w:tabs>
          <w:tab w:val="num" w:pos="3240"/>
        </w:tabs>
        <w:ind w:left="3240" w:hanging="360"/>
      </w:pPr>
      <w:rPr>
        <w:rFonts w:ascii="Ericsson Capital TT" w:hAnsi="Ericsson Capital TT" w:hint="default"/>
      </w:rPr>
    </w:lvl>
    <w:lvl w:ilvl="5" w:tplc="DB886D54" w:tentative="1">
      <w:start w:val="1"/>
      <w:numFmt w:val="bullet"/>
      <w:lvlText w:val="–"/>
      <w:lvlJc w:val="left"/>
      <w:pPr>
        <w:tabs>
          <w:tab w:val="num" w:pos="3960"/>
        </w:tabs>
        <w:ind w:left="3960" w:hanging="360"/>
      </w:pPr>
      <w:rPr>
        <w:rFonts w:ascii="Ericsson Capital TT" w:hAnsi="Ericsson Capital TT" w:hint="default"/>
      </w:rPr>
    </w:lvl>
    <w:lvl w:ilvl="6" w:tplc="C75A5EFE" w:tentative="1">
      <w:start w:val="1"/>
      <w:numFmt w:val="bullet"/>
      <w:lvlText w:val="–"/>
      <w:lvlJc w:val="left"/>
      <w:pPr>
        <w:tabs>
          <w:tab w:val="num" w:pos="4680"/>
        </w:tabs>
        <w:ind w:left="4680" w:hanging="360"/>
      </w:pPr>
      <w:rPr>
        <w:rFonts w:ascii="Ericsson Capital TT" w:hAnsi="Ericsson Capital TT" w:hint="default"/>
      </w:rPr>
    </w:lvl>
    <w:lvl w:ilvl="7" w:tplc="A3FC9A72" w:tentative="1">
      <w:start w:val="1"/>
      <w:numFmt w:val="bullet"/>
      <w:lvlText w:val="–"/>
      <w:lvlJc w:val="left"/>
      <w:pPr>
        <w:tabs>
          <w:tab w:val="num" w:pos="5400"/>
        </w:tabs>
        <w:ind w:left="5400" w:hanging="360"/>
      </w:pPr>
      <w:rPr>
        <w:rFonts w:ascii="Ericsson Capital TT" w:hAnsi="Ericsson Capital TT" w:hint="default"/>
      </w:rPr>
    </w:lvl>
    <w:lvl w:ilvl="8" w:tplc="7E96A446" w:tentative="1">
      <w:start w:val="1"/>
      <w:numFmt w:val="bullet"/>
      <w:lvlText w:val="–"/>
      <w:lvlJc w:val="left"/>
      <w:pPr>
        <w:tabs>
          <w:tab w:val="num" w:pos="6120"/>
        </w:tabs>
        <w:ind w:left="6120" w:hanging="360"/>
      </w:pPr>
      <w:rPr>
        <w:rFonts w:ascii="Ericsson Capital TT" w:hAnsi="Ericsson Capital TT" w:hint="default"/>
      </w:rPr>
    </w:lvl>
  </w:abstractNum>
  <w:abstractNum w:abstractNumId="1" w15:restartNumberingAfterBreak="0">
    <w:nsid w:val="144B46C1"/>
    <w:multiLevelType w:val="hybridMultilevel"/>
    <w:tmpl w:val="5DDAE75A"/>
    <w:lvl w:ilvl="0" w:tplc="1FF428EE">
      <w:start w:val="1"/>
      <w:numFmt w:val="bullet"/>
      <w:lvlText w:val="—"/>
      <w:lvlJc w:val="left"/>
      <w:pPr>
        <w:tabs>
          <w:tab w:val="num" w:pos="360"/>
        </w:tabs>
        <w:ind w:left="360" w:hanging="360"/>
      </w:pPr>
      <w:rPr>
        <w:rFonts w:ascii="Ericsson Hilda Light" w:hAnsi="Ericsson Hilda Light" w:hint="default"/>
      </w:rPr>
    </w:lvl>
    <w:lvl w:ilvl="1" w:tplc="81D8B45E">
      <w:start w:val="142"/>
      <w:numFmt w:val="bullet"/>
      <w:lvlText w:val="—"/>
      <w:lvlJc w:val="left"/>
      <w:pPr>
        <w:tabs>
          <w:tab w:val="num" w:pos="1080"/>
        </w:tabs>
        <w:ind w:left="1080" w:hanging="360"/>
      </w:pPr>
      <w:rPr>
        <w:rFonts w:ascii="Ericsson Hilda Light" w:hAnsi="Ericsson Hilda Light" w:hint="default"/>
      </w:rPr>
    </w:lvl>
    <w:lvl w:ilvl="2" w:tplc="1CC05AA4" w:tentative="1">
      <w:start w:val="1"/>
      <w:numFmt w:val="bullet"/>
      <w:lvlText w:val="—"/>
      <w:lvlJc w:val="left"/>
      <w:pPr>
        <w:tabs>
          <w:tab w:val="num" w:pos="1800"/>
        </w:tabs>
        <w:ind w:left="1800" w:hanging="360"/>
      </w:pPr>
      <w:rPr>
        <w:rFonts w:ascii="Ericsson Hilda Light" w:hAnsi="Ericsson Hilda Light" w:hint="default"/>
      </w:rPr>
    </w:lvl>
    <w:lvl w:ilvl="3" w:tplc="D97284DA" w:tentative="1">
      <w:start w:val="1"/>
      <w:numFmt w:val="bullet"/>
      <w:lvlText w:val="—"/>
      <w:lvlJc w:val="left"/>
      <w:pPr>
        <w:tabs>
          <w:tab w:val="num" w:pos="2520"/>
        </w:tabs>
        <w:ind w:left="2520" w:hanging="360"/>
      </w:pPr>
      <w:rPr>
        <w:rFonts w:ascii="Ericsson Hilda Light" w:hAnsi="Ericsson Hilda Light" w:hint="default"/>
      </w:rPr>
    </w:lvl>
    <w:lvl w:ilvl="4" w:tplc="28862208" w:tentative="1">
      <w:start w:val="1"/>
      <w:numFmt w:val="bullet"/>
      <w:lvlText w:val="—"/>
      <w:lvlJc w:val="left"/>
      <w:pPr>
        <w:tabs>
          <w:tab w:val="num" w:pos="3240"/>
        </w:tabs>
        <w:ind w:left="3240" w:hanging="360"/>
      </w:pPr>
      <w:rPr>
        <w:rFonts w:ascii="Ericsson Hilda Light" w:hAnsi="Ericsson Hilda Light" w:hint="default"/>
      </w:rPr>
    </w:lvl>
    <w:lvl w:ilvl="5" w:tplc="ED58F520" w:tentative="1">
      <w:start w:val="1"/>
      <w:numFmt w:val="bullet"/>
      <w:lvlText w:val="—"/>
      <w:lvlJc w:val="left"/>
      <w:pPr>
        <w:tabs>
          <w:tab w:val="num" w:pos="3960"/>
        </w:tabs>
        <w:ind w:left="3960" w:hanging="360"/>
      </w:pPr>
      <w:rPr>
        <w:rFonts w:ascii="Ericsson Hilda Light" w:hAnsi="Ericsson Hilda Light" w:hint="default"/>
      </w:rPr>
    </w:lvl>
    <w:lvl w:ilvl="6" w:tplc="659214D4" w:tentative="1">
      <w:start w:val="1"/>
      <w:numFmt w:val="bullet"/>
      <w:lvlText w:val="—"/>
      <w:lvlJc w:val="left"/>
      <w:pPr>
        <w:tabs>
          <w:tab w:val="num" w:pos="4680"/>
        </w:tabs>
        <w:ind w:left="4680" w:hanging="360"/>
      </w:pPr>
      <w:rPr>
        <w:rFonts w:ascii="Ericsson Hilda Light" w:hAnsi="Ericsson Hilda Light" w:hint="default"/>
      </w:rPr>
    </w:lvl>
    <w:lvl w:ilvl="7" w:tplc="6CC8A1A6" w:tentative="1">
      <w:start w:val="1"/>
      <w:numFmt w:val="bullet"/>
      <w:lvlText w:val="—"/>
      <w:lvlJc w:val="left"/>
      <w:pPr>
        <w:tabs>
          <w:tab w:val="num" w:pos="5400"/>
        </w:tabs>
        <w:ind w:left="5400" w:hanging="360"/>
      </w:pPr>
      <w:rPr>
        <w:rFonts w:ascii="Ericsson Hilda Light" w:hAnsi="Ericsson Hilda Light" w:hint="default"/>
      </w:rPr>
    </w:lvl>
    <w:lvl w:ilvl="8" w:tplc="E4C02B22" w:tentative="1">
      <w:start w:val="1"/>
      <w:numFmt w:val="bullet"/>
      <w:lvlText w:val="—"/>
      <w:lvlJc w:val="left"/>
      <w:pPr>
        <w:tabs>
          <w:tab w:val="num" w:pos="6120"/>
        </w:tabs>
        <w:ind w:left="6120" w:hanging="360"/>
      </w:pPr>
      <w:rPr>
        <w:rFonts w:ascii="Ericsson Hilda Light" w:hAnsi="Ericsson Hilda Light" w:hint="default"/>
      </w:rPr>
    </w:lvl>
  </w:abstractNum>
  <w:abstractNum w:abstractNumId="2" w15:restartNumberingAfterBreak="0">
    <w:nsid w:val="34CF276D"/>
    <w:multiLevelType w:val="hybridMultilevel"/>
    <w:tmpl w:val="8562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7678"/>
        </w:tabs>
        <w:ind w:left="7678" w:hanging="360"/>
      </w:pPr>
    </w:lvl>
    <w:lvl w:ilvl="2" w:tplc="0409001B" w:tentative="1">
      <w:start w:val="1"/>
      <w:numFmt w:val="lowerRoman"/>
      <w:lvlText w:val="%3."/>
      <w:lvlJc w:val="right"/>
      <w:pPr>
        <w:tabs>
          <w:tab w:val="num" w:pos="8398"/>
        </w:tabs>
        <w:ind w:left="8398" w:hanging="180"/>
      </w:pPr>
    </w:lvl>
    <w:lvl w:ilvl="3" w:tplc="0409000F" w:tentative="1">
      <w:start w:val="1"/>
      <w:numFmt w:val="decimal"/>
      <w:lvlText w:val="%4."/>
      <w:lvlJc w:val="left"/>
      <w:pPr>
        <w:tabs>
          <w:tab w:val="num" w:pos="9118"/>
        </w:tabs>
        <w:ind w:left="9118" w:hanging="360"/>
      </w:pPr>
    </w:lvl>
    <w:lvl w:ilvl="4" w:tplc="04090019" w:tentative="1">
      <w:start w:val="1"/>
      <w:numFmt w:val="lowerLetter"/>
      <w:lvlText w:val="%5."/>
      <w:lvlJc w:val="left"/>
      <w:pPr>
        <w:tabs>
          <w:tab w:val="num" w:pos="9838"/>
        </w:tabs>
        <w:ind w:left="9838" w:hanging="360"/>
      </w:pPr>
    </w:lvl>
    <w:lvl w:ilvl="5" w:tplc="0409001B" w:tentative="1">
      <w:start w:val="1"/>
      <w:numFmt w:val="lowerRoman"/>
      <w:lvlText w:val="%6."/>
      <w:lvlJc w:val="right"/>
      <w:pPr>
        <w:tabs>
          <w:tab w:val="num" w:pos="10558"/>
        </w:tabs>
        <w:ind w:left="10558" w:hanging="180"/>
      </w:pPr>
    </w:lvl>
    <w:lvl w:ilvl="6" w:tplc="0409000F" w:tentative="1">
      <w:start w:val="1"/>
      <w:numFmt w:val="decimal"/>
      <w:lvlText w:val="%7."/>
      <w:lvlJc w:val="left"/>
      <w:pPr>
        <w:tabs>
          <w:tab w:val="num" w:pos="11278"/>
        </w:tabs>
        <w:ind w:left="11278" w:hanging="360"/>
      </w:pPr>
    </w:lvl>
    <w:lvl w:ilvl="7" w:tplc="04090019" w:tentative="1">
      <w:start w:val="1"/>
      <w:numFmt w:val="lowerLetter"/>
      <w:lvlText w:val="%8."/>
      <w:lvlJc w:val="left"/>
      <w:pPr>
        <w:tabs>
          <w:tab w:val="num" w:pos="11998"/>
        </w:tabs>
        <w:ind w:left="11998" w:hanging="360"/>
      </w:pPr>
    </w:lvl>
    <w:lvl w:ilvl="8" w:tplc="0409001B" w:tentative="1">
      <w:start w:val="1"/>
      <w:numFmt w:val="lowerRoman"/>
      <w:lvlText w:val="%9."/>
      <w:lvlJc w:val="right"/>
      <w:pPr>
        <w:tabs>
          <w:tab w:val="num" w:pos="12718"/>
        </w:tabs>
        <w:ind w:left="12718" w:hanging="180"/>
      </w:pPr>
    </w:lvl>
  </w:abstractNum>
  <w:abstractNum w:abstractNumId="5" w15:restartNumberingAfterBreak="0">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EA038ED"/>
    <w:multiLevelType w:val="hybridMultilevel"/>
    <w:tmpl w:val="38907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E75BA"/>
    <w:multiLevelType w:val="hybridMultilevel"/>
    <w:tmpl w:val="5AC470DC"/>
    <w:lvl w:ilvl="0" w:tplc="3BEC23F0">
      <w:start w:val="1"/>
      <w:numFmt w:val="bullet"/>
      <w:lvlText w:val="—"/>
      <w:lvlJc w:val="left"/>
      <w:pPr>
        <w:tabs>
          <w:tab w:val="num" w:pos="360"/>
        </w:tabs>
        <w:ind w:left="360" w:hanging="360"/>
      </w:pPr>
      <w:rPr>
        <w:rFonts w:ascii="Ericsson Hilda Light" w:hAnsi="Ericsson Hilda Light" w:hint="default"/>
      </w:rPr>
    </w:lvl>
    <w:lvl w:ilvl="1" w:tplc="F7E23910">
      <w:start w:val="142"/>
      <w:numFmt w:val="bullet"/>
      <w:lvlText w:val="—"/>
      <w:lvlJc w:val="left"/>
      <w:pPr>
        <w:tabs>
          <w:tab w:val="num" w:pos="1080"/>
        </w:tabs>
        <w:ind w:left="1080" w:hanging="360"/>
      </w:pPr>
      <w:rPr>
        <w:rFonts w:ascii="Ericsson Hilda Light" w:hAnsi="Ericsson Hilda Light" w:hint="default"/>
      </w:rPr>
    </w:lvl>
    <w:lvl w:ilvl="2" w:tplc="68B684C0" w:tentative="1">
      <w:start w:val="1"/>
      <w:numFmt w:val="bullet"/>
      <w:lvlText w:val="—"/>
      <w:lvlJc w:val="left"/>
      <w:pPr>
        <w:tabs>
          <w:tab w:val="num" w:pos="1800"/>
        </w:tabs>
        <w:ind w:left="1800" w:hanging="360"/>
      </w:pPr>
      <w:rPr>
        <w:rFonts w:ascii="Ericsson Hilda Light" w:hAnsi="Ericsson Hilda Light" w:hint="default"/>
      </w:rPr>
    </w:lvl>
    <w:lvl w:ilvl="3" w:tplc="52003E22" w:tentative="1">
      <w:start w:val="1"/>
      <w:numFmt w:val="bullet"/>
      <w:lvlText w:val="—"/>
      <w:lvlJc w:val="left"/>
      <w:pPr>
        <w:tabs>
          <w:tab w:val="num" w:pos="2520"/>
        </w:tabs>
        <w:ind w:left="2520" w:hanging="360"/>
      </w:pPr>
      <w:rPr>
        <w:rFonts w:ascii="Ericsson Hilda Light" w:hAnsi="Ericsson Hilda Light" w:hint="default"/>
      </w:rPr>
    </w:lvl>
    <w:lvl w:ilvl="4" w:tplc="10EC9B6E" w:tentative="1">
      <w:start w:val="1"/>
      <w:numFmt w:val="bullet"/>
      <w:lvlText w:val="—"/>
      <w:lvlJc w:val="left"/>
      <w:pPr>
        <w:tabs>
          <w:tab w:val="num" w:pos="3240"/>
        </w:tabs>
        <w:ind w:left="3240" w:hanging="360"/>
      </w:pPr>
      <w:rPr>
        <w:rFonts w:ascii="Ericsson Hilda Light" w:hAnsi="Ericsson Hilda Light" w:hint="default"/>
      </w:rPr>
    </w:lvl>
    <w:lvl w:ilvl="5" w:tplc="59EE8692" w:tentative="1">
      <w:start w:val="1"/>
      <w:numFmt w:val="bullet"/>
      <w:lvlText w:val="—"/>
      <w:lvlJc w:val="left"/>
      <w:pPr>
        <w:tabs>
          <w:tab w:val="num" w:pos="3960"/>
        </w:tabs>
        <w:ind w:left="3960" w:hanging="360"/>
      </w:pPr>
      <w:rPr>
        <w:rFonts w:ascii="Ericsson Hilda Light" w:hAnsi="Ericsson Hilda Light" w:hint="default"/>
      </w:rPr>
    </w:lvl>
    <w:lvl w:ilvl="6" w:tplc="2C3A2258" w:tentative="1">
      <w:start w:val="1"/>
      <w:numFmt w:val="bullet"/>
      <w:lvlText w:val="—"/>
      <w:lvlJc w:val="left"/>
      <w:pPr>
        <w:tabs>
          <w:tab w:val="num" w:pos="4680"/>
        </w:tabs>
        <w:ind w:left="4680" w:hanging="360"/>
      </w:pPr>
      <w:rPr>
        <w:rFonts w:ascii="Ericsson Hilda Light" w:hAnsi="Ericsson Hilda Light" w:hint="default"/>
      </w:rPr>
    </w:lvl>
    <w:lvl w:ilvl="7" w:tplc="CE260C62" w:tentative="1">
      <w:start w:val="1"/>
      <w:numFmt w:val="bullet"/>
      <w:lvlText w:val="—"/>
      <w:lvlJc w:val="left"/>
      <w:pPr>
        <w:tabs>
          <w:tab w:val="num" w:pos="5400"/>
        </w:tabs>
        <w:ind w:left="5400" w:hanging="360"/>
      </w:pPr>
      <w:rPr>
        <w:rFonts w:ascii="Ericsson Hilda Light" w:hAnsi="Ericsson Hilda Light" w:hint="default"/>
      </w:rPr>
    </w:lvl>
    <w:lvl w:ilvl="8" w:tplc="833402BC" w:tentative="1">
      <w:start w:val="1"/>
      <w:numFmt w:val="bullet"/>
      <w:lvlText w:val="—"/>
      <w:lvlJc w:val="left"/>
      <w:pPr>
        <w:tabs>
          <w:tab w:val="num" w:pos="6120"/>
        </w:tabs>
        <w:ind w:left="6120" w:hanging="360"/>
      </w:pPr>
      <w:rPr>
        <w:rFonts w:ascii="Ericsson Hilda Light" w:hAnsi="Ericsson Hilda Light"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2"/>
  </w:num>
  <w:num w:numId="6">
    <w:abstractNumId w:val="9"/>
  </w:num>
  <w:num w:numId="7">
    <w:abstractNumId w:val="10"/>
  </w:num>
  <w:num w:numId="8">
    <w:abstractNumId w:val="4"/>
  </w:num>
  <w:num w:numId="9">
    <w:abstractNumId w:val="4"/>
    <w:lvlOverride w:ilvl="0">
      <w:startOverride w:val="1"/>
    </w:lvlOverride>
  </w:num>
  <w:num w:numId="10">
    <w:abstractNumId w:val="5"/>
  </w:num>
  <w:num w:numId="11">
    <w:abstractNumId w:val="1"/>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744"/>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97D88"/>
    <w:rsid w:val="000A20E0"/>
    <w:rsid w:val="000A360E"/>
    <w:rsid w:val="000A446C"/>
    <w:rsid w:val="000A7088"/>
    <w:rsid w:val="000A7328"/>
    <w:rsid w:val="000A787E"/>
    <w:rsid w:val="000B2AED"/>
    <w:rsid w:val="000B47D4"/>
    <w:rsid w:val="000B593C"/>
    <w:rsid w:val="000C0661"/>
    <w:rsid w:val="000C2CCE"/>
    <w:rsid w:val="000C3430"/>
    <w:rsid w:val="000C4330"/>
    <w:rsid w:val="000C64BD"/>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4228"/>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3058"/>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00CB"/>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50C2"/>
    <w:rsid w:val="003D09AA"/>
    <w:rsid w:val="003D49F3"/>
    <w:rsid w:val="003D7733"/>
    <w:rsid w:val="003E56B5"/>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2960"/>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07F3"/>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074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123D"/>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34F8"/>
    <w:rsid w:val="007E4883"/>
    <w:rsid w:val="007E781B"/>
    <w:rsid w:val="007F20CE"/>
    <w:rsid w:val="007F4DC3"/>
    <w:rsid w:val="007F72E1"/>
    <w:rsid w:val="008016A0"/>
    <w:rsid w:val="00805A8C"/>
    <w:rsid w:val="0081079F"/>
    <w:rsid w:val="00811F16"/>
    <w:rsid w:val="00812433"/>
    <w:rsid w:val="008148E9"/>
    <w:rsid w:val="008165F9"/>
    <w:rsid w:val="00817FB2"/>
    <w:rsid w:val="00825DCB"/>
    <w:rsid w:val="00830043"/>
    <w:rsid w:val="00834DE3"/>
    <w:rsid w:val="00842FC0"/>
    <w:rsid w:val="008440E1"/>
    <w:rsid w:val="00845C8A"/>
    <w:rsid w:val="00845DEA"/>
    <w:rsid w:val="0084641A"/>
    <w:rsid w:val="008573E1"/>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B7172"/>
    <w:rsid w:val="008C226A"/>
    <w:rsid w:val="008C3CEF"/>
    <w:rsid w:val="008C3DE9"/>
    <w:rsid w:val="008C4571"/>
    <w:rsid w:val="008C48B7"/>
    <w:rsid w:val="008C5D0F"/>
    <w:rsid w:val="008D29D3"/>
    <w:rsid w:val="008D511C"/>
    <w:rsid w:val="008E0B00"/>
    <w:rsid w:val="008E1744"/>
    <w:rsid w:val="008E1E51"/>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3A59"/>
    <w:rsid w:val="00B04F39"/>
    <w:rsid w:val="00B13B51"/>
    <w:rsid w:val="00B250D5"/>
    <w:rsid w:val="00B26CFB"/>
    <w:rsid w:val="00B32D49"/>
    <w:rsid w:val="00B4455E"/>
    <w:rsid w:val="00B4464E"/>
    <w:rsid w:val="00B44CFE"/>
    <w:rsid w:val="00B46189"/>
    <w:rsid w:val="00B52E2A"/>
    <w:rsid w:val="00B53F51"/>
    <w:rsid w:val="00B54454"/>
    <w:rsid w:val="00B5663A"/>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2B03"/>
    <w:rsid w:val="00BF69E7"/>
    <w:rsid w:val="00BF7D26"/>
    <w:rsid w:val="00C02D53"/>
    <w:rsid w:val="00C04BF5"/>
    <w:rsid w:val="00C04DC6"/>
    <w:rsid w:val="00C126DD"/>
    <w:rsid w:val="00C145B6"/>
    <w:rsid w:val="00C20CA4"/>
    <w:rsid w:val="00C26256"/>
    <w:rsid w:val="00C35252"/>
    <w:rsid w:val="00C36420"/>
    <w:rsid w:val="00C36C06"/>
    <w:rsid w:val="00C37D29"/>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5743"/>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55C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35CE7"/>
    <w:rsid w:val="00F40933"/>
    <w:rsid w:val="00F42E1E"/>
    <w:rsid w:val="00F51F15"/>
    <w:rsid w:val="00F558B4"/>
    <w:rsid w:val="00F55A37"/>
    <w:rsid w:val="00F611EB"/>
    <w:rsid w:val="00F711E2"/>
    <w:rsid w:val="00F726B8"/>
    <w:rsid w:val="00F76977"/>
    <w:rsid w:val="00F8408F"/>
    <w:rsid w:val="00F906EF"/>
    <w:rsid w:val="00F9288C"/>
    <w:rsid w:val="00F96544"/>
    <w:rsid w:val="00FA1742"/>
    <w:rsid w:val="00FA239A"/>
    <w:rsid w:val="00FA27C0"/>
    <w:rsid w:val="00FA4143"/>
    <w:rsid w:val="00FA62B9"/>
    <w:rsid w:val="00FA69D3"/>
    <w:rsid w:val="00FA7C74"/>
    <w:rsid w:val="00FB00A5"/>
    <w:rsid w:val="00FB022C"/>
    <w:rsid w:val="00FB1036"/>
    <w:rsid w:val="00FB3892"/>
    <w:rsid w:val="00FB4C7C"/>
    <w:rsid w:val="00FB6C5D"/>
    <w:rsid w:val="00FC118E"/>
    <w:rsid w:val="00FC1207"/>
    <w:rsid w:val="00FC2706"/>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BodyTextChar">
    <w:name w:val="Body Text Char"/>
    <w:aliases w:val="bt Char"/>
    <w:basedOn w:val="DefaultParagraphFont"/>
    <w:link w:val="BodyText"/>
    <w:locked/>
    <w:rsid w:val="007E781B"/>
    <w:rPr>
      <w:rFonts w:ascii="Times New Roman" w:eastAsia="MS Gothic" w:hAnsi="Times New Roman"/>
      <w:sz w:val="24"/>
      <w:lang w:eastAsia="ja-JP"/>
    </w:rPr>
  </w:style>
  <w:style w:type="paragraph" w:styleId="BodyText">
    <w:name w:val="Body Text"/>
    <w:aliases w:val="bt"/>
    <w:basedOn w:val="Normal"/>
    <w:link w:val="BodyTextChar"/>
    <w:unhideWhenUsed/>
    <w:rsid w:val="007E781B"/>
    <w:pPr>
      <w:spacing w:after="120"/>
    </w:pPr>
    <w:rPr>
      <w:rFonts w:ascii="Times New Roman" w:eastAsia="MS Gothic" w:hAnsi="Times New Roman"/>
      <w:sz w:val="24"/>
      <w:szCs w:val="20"/>
      <w:lang w:val="en-GB" w:eastAsia="ja-JP"/>
    </w:rPr>
  </w:style>
  <w:style w:type="character" w:customStyle="1" w:styleId="BodyTextChar1">
    <w:name w:val="Body Text Char1"/>
    <w:basedOn w:val="DefaultParagraphFont"/>
    <w:uiPriority w:val="99"/>
    <w:semiHidden/>
    <w:rsid w:val="007E781B"/>
    <w:rPr>
      <w:rFonts w:ascii="Arial" w:hAnsi="Arial"/>
      <w:szCs w:val="22"/>
      <w:lang w:val="en-US"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7E781B"/>
    <w:rPr>
      <w:rFonts w:ascii="Arial" w:hAnsi="Arial"/>
      <w:szCs w:val="22"/>
      <w:lang w:val="en-US" w:eastAsia="en-US"/>
    </w:rPr>
  </w:style>
  <w:style w:type="paragraph" w:customStyle="1" w:styleId="ListParagraph3">
    <w:name w:val="List Paragraph3"/>
    <w:basedOn w:val="Normal"/>
    <w:qFormat/>
    <w:rsid w:val="007E781B"/>
    <w:pPr>
      <w:spacing w:after="0"/>
      <w:ind w:left="720"/>
      <w:contextualSpacing/>
    </w:pPr>
    <w:rPr>
      <w:rFonts w:ascii="Times New Roman" w:eastAsia="Times New Roman" w:hAnsi="Times New Roman"/>
      <w:sz w:val="24"/>
      <w:szCs w:val="24"/>
      <w:lang w:eastAsia="zh-CN"/>
    </w:rPr>
  </w:style>
  <w:style w:type="character" w:customStyle="1" w:styleId="CommentsChar">
    <w:name w:val="Comments Char"/>
    <w:link w:val="Comments"/>
    <w:locked/>
    <w:rsid w:val="007E781B"/>
    <w:rPr>
      <w:rFonts w:ascii="Arial" w:eastAsia="MS Mincho" w:hAnsi="Arial" w:cs="Arial"/>
      <w:i/>
      <w:noProof/>
      <w:sz w:val="18"/>
      <w:szCs w:val="24"/>
    </w:rPr>
  </w:style>
  <w:style w:type="paragraph" w:customStyle="1" w:styleId="Comments">
    <w:name w:val="Comments"/>
    <w:basedOn w:val="Normal"/>
    <w:link w:val="CommentsChar"/>
    <w:qFormat/>
    <w:rsid w:val="007E781B"/>
    <w:pPr>
      <w:spacing w:before="40" w:after="0"/>
    </w:pPr>
    <w:rPr>
      <w:rFonts w:eastAsia="MS Mincho" w:cs="Arial"/>
      <w:i/>
      <w:noProof/>
      <w:sz w:val="18"/>
      <w:szCs w:val="24"/>
      <w:lang w:val="en-GB" w:eastAsia="en-GB"/>
    </w:rPr>
  </w:style>
  <w:style w:type="paragraph" w:customStyle="1" w:styleId="Agreement">
    <w:name w:val="Agreement"/>
    <w:basedOn w:val="Normal"/>
    <w:next w:val="Normal"/>
    <w:rsid w:val="007E781B"/>
    <w:pPr>
      <w:numPr>
        <w:numId w:val="6"/>
      </w:numPr>
      <w:spacing w:before="60" w:after="0"/>
    </w:pPr>
    <w:rPr>
      <w:rFonts w:eastAsia="MS Mincho"/>
      <w:b/>
      <w:szCs w:val="24"/>
      <w:lang w:val="en-GB" w:eastAsia="en-GB"/>
    </w:rPr>
  </w:style>
  <w:style w:type="paragraph" w:customStyle="1" w:styleId="Proposal">
    <w:name w:val="Proposal"/>
    <w:basedOn w:val="Normal"/>
    <w:rsid w:val="003E56B5"/>
    <w:pPr>
      <w:numPr>
        <w:numId w:val="8"/>
      </w:numPr>
      <w:tabs>
        <w:tab w:val="left" w:pos="1701"/>
      </w:tabs>
      <w:overflowPunct w:val="0"/>
      <w:autoSpaceDE w:val="0"/>
      <w:autoSpaceDN w:val="0"/>
      <w:adjustRightInd w:val="0"/>
      <w:spacing w:after="120"/>
      <w:jc w:val="both"/>
      <w:textAlignment w:val="baseline"/>
    </w:pPr>
    <w:rPr>
      <w:rFonts w:eastAsia="SimSun"/>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37083252">
      <w:bodyDiv w:val="1"/>
      <w:marLeft w:val="0"/>
      <w:marRight w:val="0"/>
      <w:marTop w:val="0"/>
      <w:marBottom w:val="0"/>
      <w:divBdr>
        <w:top w:val="none" w:sz="0" w:space="0" w:color="auto"/>
        <w:left w:val="none" w:sz="0" w:space="0" w:color="auto"/>
        <w:bottom w:val="none" w:sz="0" w:space="0" w:color="auto"/>
        <w:right w:val="none" w:sz="0" w:space="0" w:color="auto"/>
      </w:divBdr>
      <w:divsChild>
        <w:div w:id="1062558104">
          <w:marLeft w:val="547"/>
          <w:marRight w:val="0"/>
          <w:marTop w:val="60"/>
          <w:marBottom w:val="0"/>
          <w:divBdr>
            <w:top w:val="none" w:sz="0" w:space="0" w:color="auto"/>
            <w:left w:val="none" w:sz="0" w:space="0" w:color="auto"/>
            <w:bottom w:val="none" w:sz="0" w:space="0" w:color="auto"/>
            <w:right w:val="none" w:sz="0" w:space="0" w:color="auto"/>
          </w:divBdr>
        </w:div>
        <w:div w:id="1367024253">
          <w:marLeft w:val="1123"/>
          <w:marRight w:val="0"/>
          <w:marTop w:val="60"/>
          <w:marBottom w:val="0"/>
          <w:divBdr>
            <w:top w:val="none" w:sz="0" w:space="0" w:color="auto"/>
            <w:left w:val="none" w:sz="0" w:space="0" w:color="auto"/>
            <w:bottom w:val="none" w:sz="0" w:space="0" w:color="auto"/>
            <w:right w:val="none" w:sz="0" w:space="0" w:color="auto"/>
          </w:divBdr>
        </w:div>
        <w:div w:id="1169099778">
          <w:marLeft w:val="547"/>
          <w:marRight w:val="0"/>
          <w:marTop w:val="60"/>
          <w:marBottom w:val="0"/>
          <w:divBdr>
            <w:top w:val="none" w:sz="0" w:space="0" w:color="auto"/>
            <w:left w:val="none" w:sz="0" w:space="0" w:color="auto"/>
            <w:bottom w:val="none" w:sz="0" w:space="0" w:color="auto"/>
            <w:right w:val="none" w:sz="0" w:space="0" w:color="auto"/>
          </w:divBdr>
        </w:div>
        <w:div w:id="1540512074">
          <w:marLeft w:val="1296"/>
          <w:marRight w:val="0"/>
          <w:marTop w:val="60"/>
          <w:marBottom w:val="0"/>
          <w:divBdr>
            <w:top w:val="none" w:sz="0" w:space="0" w:color="auto"/>
            <w:left w:val="none" w:sz="0" w:space="0" w:color="auto"/>
            <w:bottom w:val="none" w:sz="0" w:space="0" w:color="auto"/>
            <w:right w:val="none" w:sz="0" w:space="0" w:color="auto"/>
          </w:divBdr>
        </w:div>
        <w:div w:id="1133013621">
          <w:marLeft w:val="1296"/>
          <w:marRight w:val="0"/>
          <w:marTop w:val="60"/>
          <w:marBottom w:val="0"/>
          <w:divBdr>
            <w:top w:val="none" w:sz="0" w:space="0" w:color="auto"/>
            <w:left w:val="none" w:sz="0" w:space="0" w:color="auto"/>
            <w:bottom w:val="none" w:sz="0" w:space="0" w:color="auto"/>
            <w:right w:val="none" w:sz="0" w:space="0" w:color="auto"/>
          </w:divBdr>
        </w:div>
        <w:div w:id="1877892836">
          <w:marLeft w:val="547"/>
          <w:marRight w:val="0"/>
          <w:marTop w:val="60"/>
          <w:marBottom w:val="0"/>
          <w:divBdr>
            <w:top w:val="none" w:sz="0" w:space="0" w:color="auto"/>
            <w:left w:val="none" w:sz="0" w:space="0" w:color="auto"/>
            <w:bottom w:val="none" w:sz="0" w:space="0" w:color="auto"/>
            <w:right w:val="none" w:sz="0" w:space="0" w:color="auto"/>
          </w:divBdr>
        </w:div>
        <w:div w:id="470563725">
          <w:marLeft w:val="1123"/>
          <w:marRight w:val="0"/>
          <w:marTop w:val="60"/>
          <w:marBottom w:val="0"/>
          <w:divBdr>
            <w:top w:val="none" w:sz="0" w:space="0" w:color="auto"/>
            <w:left w:val="none" w:sz="0" w:space="0" w:color="auto"/>
            <w:bottom w:val="none" w:sz="0" w:space="0" w:color="auto"/>
            <w:right w:val="none" w:sz="0" w:space="0" w:color="auto"/>
          </w:divBdr>
        </w:div>
        <w:div w:id="431827346">
          <w:marLeft w:val="1123"/>
          <w:marRight w:val="0"/>
          <w:marTop w:val="60"/>
          <w:marBottom w:val="0"/>
          <w:divBdr>
            <w:top w:val="none" w:sz="0" w:space="0" w:color="auto"/>
            <w:left w:val="none" w:sz="0" w:space="0" w:color="auto"/>
            <w:bottom w:val="none" w:sz="0" w:space="0" w:color="auto"/>
            <w:right w:val="none" w:sz="0" w:space="0" w:color="auto"/>
          </w:divBdr>
        </w:div>
        <w:div w:id="998774966">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52720602">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5983676">
      <w:bodyDiv w:val="1"/>
      <w:marLeft w:val="0"/>
      <w:marRight w:val="0"/>
      <w:marTop w:val="0"/>
      <w:marBottom w:val="0"/>
      <w:divBdr>
        <w:top w:val="none" w:sz="0" w:space="0" w:color="auto"/>
        <w:left w:val="none" w:sz="0" w:space="0" w:color="auto"/>
        <w:bottom w:val="none" w:sz="0" w:space="0" w:color="auto"/>
        <w:right w:val="none" w:sz="0" w:space="0" w:color="auto"/>
      </w:divBdr>
      <w:divsChild>
        <w:div w:id="1783331727">
          <w:marLeft w:val="547"/>
          <w:marRight w:val="0"/>
          <w:marTop w:val="60"/>
          <w:marBottom w:val="0"/>
          <w:divBdr>
            <w:top w:val="none" w:sz="0" w:space="0" w:color="auto"/>
            <w:left w:val="none" w:sz="0" w:space="0" w:color="auto"/>
            <w:bottom w:val="none" w:sz="0" w:space="0" w:color="auto"/>
            <w:right w:val="none" w:sz="0" w:space="0" w:color="auto"/>
          </w:divBdr>
        </w:div>
        <w:div w:id="284124204">
          <w:marLeft w:val="1123"/>
          <w:marRight w:val="0"/>
          <w:marTop w:val="60"/>
          <w:marBottom w:val="0"/>
          <w:divBdr>
            <w:top w:val="none" w:sz="0" w:space="0" w:color="auto"/>
            <w:left w:val="none" w:sz="0" w:space="0" w:color="auto"/>
            <w:bottom w:val="none" w:sz="0" w:space="0" w:color="auto"/>
            <w:right w:val="none" w:sz="0" w:space="0" w:color="auto"/>
          </w:divBdr>
        </w:div>
        <w:div w:id="498498319">
          <w:marLeft w:val="1123"/>
          <w:marRight w:val="0"/>
          <w:marTop w:val="60"/>
          <w:marBottom w:val="0"/>
          <w:divBdr>
            <w:top w:val="none" w:sz="0" w:space="0" w:color="auto"/>
            <w:left w:val="none" w:sz="0" w:space="0" w:color="auto"/>
            <w:bottom w:val="none" w:sz="0" w:space="0" w:color="auto"/>
            <w:right w:val="none" w:sz="0" w:space="0" w:color="auto"/>
          </w:divBdr>
        </w:div>
        <w:div w:id="318777460">
          <w:marLeft w:val="547"/>
          <w:marRight w:val="0"/>
          <w:marTop w:val="60"/>
          <w:marBottom w:val="0"/>
          <w:divBdr>
            <w:top w:val="none" w:sz="0" w:space="0" w:color="auto"/>
            <w:left w:val="none" w:sz="0" w:space="0" w:color="auto"/>
            <w:bottom w:val="none" w:sz="0" w:space="0" w:color="auto"/>
            <w:right w:val="none" w:sz="0" w:space="0" w:color="auto"/>
          </w:divBdr>
        </w:div>
        <w:div w:id="1940747885">
          <w:marLeft w:val="1123"/>
          <w:marRight w:val="0"/>
          <w:marTop w:val="60"/>
          <w:marBottom w:val="0"/>
          <w:divBdr>
            <w:top w:val="none" w:sz="0" w:space="0" w:color="auto"/>
            <w:left w:val="none" w:sz="0" w:space="0" w:color="auto"/>
            <w:bottom w:val="none" w:sz="0" w:space="0" w:color="auto"/>
            <w:right w:val="none" w:sz="0" w:space="0" w:color="auto"/>
          </w:divBdr>
        </w:div>
        <w:div w:id="525945568">
          <w:marLeft w:val="1123"/>
          <w:marRight w:val="0"/>
          <w:marTop w:val="60"/>
          <w:marBottom w:val="0"/>
          <w:divBdr>
            <w:top w:val="none" w:sz="0" w:space="0" w:color="auto"/>
            <w:left w:val="none" w:sz="0" w:space="0" w:color="auto"/>
            <w:bottom w:val="none" w:sz="0" w:space="0" w:color="auto"/>
            <w:right w:val="none" w:sz="0" w:space="0" w:color="auto"/>
          </w:divBdr>
        </w:div>
        <w:div w:id="49768227">
          <w:marLeft w:val="1123"/>
          <w:marRight w:val="0"/>
          <w:marTop w:val="60"/>
          <w:marBottom w:val="0"/>
          <w:divBdr>
            <w:top w:val="none" w:sz="0" w:space="0" w:color="auto"/>
            <w:left w:val="none" w:sz="0" w:space="0" w:color="auto"/>
            <w:bottom w:val="none" w:sz="0" w:space="0" w:color="auto"/>
            <w:right w:val="none" w:sz="0" w:space="0" w:color="auto"/>
          </w:divBdr>
        </w:div>
        <w:div w:id="1273392812">
          <w:marLeft w:val="1123"/>
          <w:marRight w:val="0"/>
          <w:marTop w:val="60"/>
          <w:marBottom w:val="0"/>
          <w:divBdr>
            <w:top w:val="none" w:sz="0" w:space="0" w:color="auto"/>
            <w:left w:val="none" w:sz="0" w:space="0" w:color="auto"/>
            <w:bottom w:val="none" w:sz="0" w:space="0" w:color="auto"/>
            <w:right w:val="none" w:sz="0" w:space="0" w:color="auto"/>
          </w:divBdr>
        </w:div>
        <w:div w:id="1390496893">
          <w:marLeft w:val="1123"/>
          <w:marRight w:val="0"/>
          <w:marTop w:val="60"/>
          <w:marBottom w:val="0"/>
          <w:divBdr>
            <w:top w:val="none" w:sz="0" w:space="0" w:color="auto"/>
            <w:left w:val="none" w:sz="0" w:space="0" w:color="auto"/>
            <w:bottom w:val="none" w:sz="0" w:space="0" w:color="auto"/>
            <w:right w:val="none" w:sz="0" w:space="0" w:color="auto"/>
          </w:divBdr>
        </w:div>
        <w:div w:id="98182912">
          <w:marLeft w:val="1123"/>
          <w:marRight w:val="0"/>
          <w:marTop w:val="60"/>
          <w:marBottom w:val="0"/>
          <w:divBdr>
            <w:top w:val="none" w:sz="0" w:space="0" w:color="auto"/>
            <w:left w:val="none" w:sz="0" w:space="0" w:color="auto"/>
            <w:bottom w:val="none" w:sz="0" w:space="0" w:color="auto"/>
            <w:right w:val="none" w:sz="0" w:space="0" w:color="auto"/>
          </w:divBdr>
        </w:div>
        <w:div w:id="1269388017">
          <w:marLeft w:val="1123"/>
          <w:marRight w:val="0"/>
          <w:marTop w:val="60"/>
          <w:marBottom w:val="0"/>
          <w:divBdr>
            <w:top w:val="none" w:sz="0" w:space="0" w:color="auto"/>
            <w:left w:val="none" w:sz="0" w:space="0" w:color="auto"/>
            <w:bottom w:val="none" w:sz="0" w:space="0" w:color="auto"/>
            <w:right w:val="none" w:sz="0" w:space="0" w:color="auto"/>
          </w:divBdr>
        </w:div>
        <w:div w:id="149105273">
          <w:marLeft w:val="1123"/>
          <w:marRight w:val="0"/>
          <w:marTop w:val="60"/>
          <w:marBottom w:val="0"/>
          <w:divBdr>
            <w:top w:val="none" w:sz="0" w:space="0" w:color="auto"/>
            <w:left w:val="none" w:sz="0" w:space="0" w:color="auto"/>
            <w:bottom w:val="none" w:sz="0" w:space="0" w:color="auto"/>
            <w:right w:val="none" w:sz="0" w:space="0" w:color="auto"/>
          </w:divBdr>
        </w:div>
        <w:div w:id="2021393629">
          <w:marLeft w:val="1123"/>
          <w:marRight w:val="0"/>
          <w:marTop w:val="60"/>
          <w:marBottom w:val="0"/>
          <w:divBdr>
            <w:top w:val="none" w:sz="0" w:space="0" w:color="auto"/>
            <w:left w:val="none" w:sz="0" w:space="0" w:color="auto"/>
            <w:bottom w:val="none" w:sz="0" w:space="0" w:color="auto"/>
            <w:right w:val="none" w:sz="0" w:space="0" w:color="auto"/>
          </w:divBdr>
        </w:div>
        <w:div w:id="1382317606">
          <w:marLeft w:val="1123"/>
          <w:marRight w:val="0"/>
          <w:marTop w:val="60"/>
          <w:marBottom w:val="0"/>
          <w:divBdr>
            <w:top w:val="none" w:sz="0" w:space="0" w:color="auto"/>
            <w:left w:val="none" w:sz="0" w:space="0" w:color="auto"/>
            <w:bottom w:val="none" w:sz="0" w:space="0" w:color="auto"/>
            <w:right w:val="none" w:sz="0" w:space="0" w:color="auto"/>
          </w:divBdr>
        </w:div>
        <w:div w:id="1101953553">
          <w:marLeft w:val="1123"/>
          <w:marRight w:val="0"/>
          <w:marTop w:val="60"/>
          <w:marBottom w:val="0"/>
          <w:divBdr>
            <w:top w:val="none" w:sz="0" w:space="0" w:color="auto"/>
            <w:left w:val="none" w:sz="0" w:space="0" w:color="auto"/>
            <w:bottom w:val="none" w:sz="0" w:space="0" w:color="auto"/>
            <w:right w:val="none" w:sz="0" w:space="0" w:color="auto"/>
          </w:divBdr>
        </w:div>
        <w:div w:id="1919436990">
          <w:marLeft w:val="1123"/>
          <w:marRight w:val="0"/>
          <w:marTop w:val="60"/>
          <w:marBottom w:val="0"/>
          <w:divBdr>
            <w:top w:val="none" w:sz="0" w:space="0" w:color="auto"/>
            <w:left w:val="none" w:sz="0" w:space="0" w:color="auto"/>
            <w:bottom w:val="none" w:sz="0" w:space="0" w:color="auto"/>
            <w:right w:val="none" w:sz="0" w:space="0" w:color="auto"/>
          </w:divBdr>
        </w:div>
        <w:div w:id="2080592323">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285494">
      <w:bodyDiv w:val="1"/>
      <w:marLeft w:val="0"/>
      <w:marRight w:val="0"/>
      <w:marTop w:val="0"/>
      <w:marBottom w:val="0"/>
      <w:divBdr>
        <w:top w:val="none" w:sz="0" w:space="0" w:color="auto"/>
        <w:left w:val="none" w:sz="0" w:space="0" w:color="auto"/>
        <w:bottom w:val="none" w:sz="0" w:space="0" w:color="auto"/>
        <w:right w:val="none" w:sz="0" w:space="0" w:color="auto"/>
      </w:divBdr>
      <w:divsChild>
        <w:div w:id="2010477042">
          <w:marLeft w:val="835"/>
          <w:marRight w:val="0"/>
          <w:marTop w:val="43"/>
          <w:marBottom w:val="0"/>
          <w:divBdr>
            <w:top w:val="none" w:sz="0" w:space="0" w:color="auto"/>
            <w:left w:val="none" w:sz="0" w:space="0" w:color="auto"/>
            <w:bottom w:val="none" w:sz="0" w:space="0" w:color="auto"/>
            <w:right w:val="none" w:sz="0" w:space="0" w:color="auto"/>
          </w:divBdr>
        </w:div>
        <w:div w:id="1900821681">
          <w:marLeft w:val="1411"/>
          <w:marRight w:val="0"/>
          <w:marTop w:val="38"/>
          <w:marBottom w:val="0"/>
          <w:divBdr>
            <w:top w:val="none" w:sz="0" w:space="0" w:color="auto"/>
            <w:left w:val="none" w:sz="0" w:space="0" w:color="auto"/>
            <w:bottom w:val="none" w:sz="0" w:space="0" w:color="auto"/>
            <w:right w:val="none" w:sz="0" w:space="0" w:color="auto"/>
          </w:divBdr>
        </w:div>
      </w:divsChild>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Docs/R2-1911246.zip" TargetMode="External"/><Relationship Id="rId3" Type="http://schemas.openxmlformats.org/officeDocument/2006/relationships/settings" Target="settings.xml"/><Relationship Id="rId7" Type="http://schemas.openxmlformats.org/officeDocument/2006/relationships/hyperlink" Target="http://www.3gpp.org/ftp/tsg_ran/TSG_RAN/TSGR_85/Docs/RP-19222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27</cp:revision>
  <cp:lastPrinted>2009-10-21T14:47:00Z</cp:lastPrinted>
  <dcterms:created xsi:type="dcterms:W3CDTF">2019-01-22T06:45:00Z</dcterms:created>
  <dcterms:modified xsi:type="dcterms:W3CDTF">2019-10-04T06:37:00Z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